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67583ADE" w:rsidR="00104EFB" w:rsidRDefault="00104EFB" w:rsidP="00104EFB">
      <w:pPr>
        <w:pStyle w:val="CRCoverPage"/>
        <w:tabs>
          <w:tab w:val="right" w:pos="9639"/>
        </w:tabs>
        <w:spacing w:after="0"/>
        <w:rPr>
          <w:b/>
          <w:i/>
          <w:noProof/>
          <w:sz w:val="28"/>
        </w:rPr>
      </w:pPr>
      <w:r>
        <w:rPr>
          <w:b/>
          <w:noProof/>
          <w:sz w:val="24"/>
        </w:rPr>
        <w:t>3GPP TSG-</w:t>
      </w:r>
      <w:r w:rsidR="00776ED0">
        <w:fldChar w:fldCharType="begin"/>
      </w:r>
      <w:r w:rsidR="00776ED0">
        <w:instrText xml:space="preserve"> DOCPROPERTY  TSG/WGRef  \* MERGEFORMAT </w:instrText>
      </w:r>
      <w:r w:rsidR="00776ED0">
        <w:fldChar w:fldCharType="separate"/>
      </w:r>
      <w:r>
        <w:rPr>
          <w:b/>
          <w:noProof/>
          <w:sz w:val="24"/>
        </w:rPr>
        <w:t>RAN4</w:t>
      </w:r>
      <w:r w:rsidR="00776ED0">
        <w:rPr>
          <w:b/>
          <w:noProof/>
          <w:sz w:val="24"/>
        </w:rPr>
        <w:fldChar w:fldCharType="end"/>
      </w:r>
      <w:r>
        <w:rPr>
          <w:b/>
          <w:noProof/>
          <w:sz w:val="24"/>
        </w:rPr>
        <w:t xml:space="preserve"> Meeting #</w:t>
      </w:r>
      <w:r w:rsidR="00776ED0">
        <w:fldChar w:fldCharType="begin"/>
      </w:r>
      <w:r w:rsidR="00776ED0">
        <w:instrText xml:space="preserve"> DOCPROPERTY  MtgSeq  \* MERGEFORMAT </w:instrText>
      </w:r>
      <w:r w:rsidR="00776ED0">
        <w:fldChar w:fldCharType="separate"/>
      </w:r>
      <w:r w:rsidRPr="00EB09B7">
        <w:rPr>
          <w:b/>
          <w:noProof/>
          <w:sz w:val="24"/>
        </w:rPr>
        <w:t>9</w:t>
      </w:r>
      <w:r w:rsidR="00776ED0">
        <w:rPr>
          <w:b/>
          <w:noProof/>
          <w:sz w:val="24"/>
        </w:rPr>
        <w:fldChar w:fldCharType="end"/>
      </w:r>
      <w:r w:rsidR="00D52283">
        <w:rPr>
          <w:b/>
          <w:noProof/>
          <w:sz w:val="24"/>
        </w:rPr>
        <w:t>7</w:t>
      </w:r>
      <w:r w:rsidR="00776ED0">
        <w:fldChar w:fldCharType="begin"/>
      </w:r>
      <w:r w:rsidR="00776ED0">
        <w:instrText xml:space="preserve"> DOCPROPERTY  MtgTitle  \* MERGEFORMAT </w:instrText>
      </w:r>
      <w:r w:rsidR="00776ED0">
        <w:fldChar w:fldCharType="separate"/>
      </w:r>
      <w:r>
        <w:rPr>
          <w:b/>
          <w:noProof/>
          <w:sz w:val="24"/>
        </w:rPr>
        <w:t>-e</w:t>
      </w:r>
      <w:r w:rsidR="00776ED0">
        <w:rPr>
          <w:b/>
          <w:noProof/>
          <w:sz w:val="24"/>
        </w:rPr>
        <w:fldChar w:fldCharType="end"/>
      </w:r>
      <w:r>
        <w:rPr>
          <w:b/>
          <w:i/>
          <w:noProof/>
          <w:sz w:val="28"/>
        </w:rPr>
        <w:tab/>
      </w:r>
      <w:r w:rsidR="00B0581C" w:rsidRPr="00B0581C">
        <w:rPr>
          <w:b/>
          <w:noProof/>
          <w:sz w:val="24"/>
        </w:rPr>
        <w:t>R4-2014278</w:t>
      </w:r>
    </w:p>
    <w:p w14:paraId="726A9933" w14:textId="37512704" w:rsidR="00104EFB" w:rsidRDefault="00776ED0"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rsidRPr="00D52283">
        <w:rPr>
          <w:b/>
          <w:sz w:val="24"/>
          <w:szCs w:val="24"/>
          <w:lang w:eastAsia="zh-CN"/>
        </w:rPr>
        <w:fldChar w:fldCharType="begin"/>
      </w:r>
      <w:r w:rsidR="00104EFB" w:rsidRPr="00D52283">
        <w:rPr>
          <w:b/>
          <w:sz w:val="24"/>
          <w:szCs w:val="24"/>
          <w:lang w:eastAsia="zh-CN"/>
        </w:rPr>
        <w:instrText xml:space="preserve"> DOCPROPERTY  Country  \* MERGEFORMAT </w:instrText>
      </w:r>
      <w:r w:rsidR="00104EFB" w:rsidRPr="00D52283">
        <w:rPr>
          <w:b/>
          <w:sz w:val="24"/>
          <w:szCs w:val="24"/>
          <w:lang w:eastAsia="zh-CN"/>
        </w:rPr>
        <w:fldChar w:fldCharType="end"/>
      </w:r>
      <w:r w:rsidR="00D52283" w:rsidRPr="00D52283">
        <w:rPr>
          <w:b/>
          <w:sz w:val="24"/>
          <w:szCs w:val="24"/>
          <w:lang w:eastAsia="zh-CN"/>
        </w:rPr>
        <w:t>2</w:t>
      </w:r>
      <w:r w:rsidR="00104EFB" w:rsidRPr="00BF1228">
        <w:rPr>
          <w:b/>
          <w:sz w:val="24"/>
          <w:szCs w:val="24"/>
          <w:lang w:eastAsia="zh-CN"/>
        </w:rPr>
        <w:t>-</w:t>
      </w:r>
      <w:r w:rsidR="00D52283">
        <w:rPr>
          <w:b/>
          <w:sz w:val="24"/>
          <w:szCs w:val="24"/>
          <w:lang w:eastAsia="zh-CN"/>
        </w:rPr>
        <w:t>13</w:t>
      </w:r>
      <w:r w:rsidR="00104EFB" w:rsidRPr="00BF1228">
        <w:rPr>
          <w:b/>
          <w:sz w:val="24"/>
          <w:szCs w:val="24"/>
          <w:lang w:eastAsia="zh-CN"/>
        </w:rPr>
        <w:t xml:space="preserve"> </w:t>
      </w:r>
      <w:r w:rsidR="00D52283">
        <w:rPr>
          <w:b/>
          <w:sz w:val="24"/>
          <w:szCs w:val="24"/>
          <w:lang w:eastAsia="zh-CN"/>
        </w:rPr>
        <w:t>Nov</w:t>
      </w:r>
      <w:r w:rsidR="00104EFB" w:rsidRPr="00BF1228">
        <w:rPr>
          <w:b/>
          <w:sz w:val="24"/>
          <w:szCs w:val="24"/>
          <w:lang w:eastAsia="zh-CN"/>
        </w:rPr>
        <w:t>., 2020</w:t>
      </w:r>
    </w:p>
    <w:p w14:paraId="038E9536" w14:textId="49BDE802"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EC56A4">
        <w:rPr>
          <w:rFonts w:ascii="Arial" w:hAnsi="Arial" w:cs="Arial"/>
          <w:b/>
          <w:sz w:val="22"/>
          <w:szCs w:val="22"/>
        </w:rPr>
        <w:t>7.13.2.2.7</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D8382E2"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EC56A4" w:rsidRPr="00EC56A4">
        <w:rPr>
          <w:rFonts w:ascii="Arial" w:hAnsi="Arial" w:cs="Arial"/>
          <w:b/>
          <w:sz w:val="22"/>
          <w:szCs w:val="22"/>
        </w:rPr>
        <w:t>Test case list for UE specific CBW change</w:t>
      </w:r>
    </w:p>
    <w:p w14:paraId="079A707A" w14:textId="279CE61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0C206A">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9354B3" w14:textId="2123EE5B" w:rsidR="000C206A" w:rsidRPr="00EC56A4" w:rsidRDefault="00EC56A4" w:rsidP="000C206A">
      <w:pPr>
        <w:jc w:val="both"/>
        <w:rPr>
          <w:lang w:val="en-US" w:eastAsia="zh-CN"/>
        </w:rPr>
      </w:pPr>
      <w:r>
        <w:rPr>
          <w:lang w:val="en-US" w:eastAsia="zh-CN"/>
        </w:rPr>
        <w:t xml:space="preserve">In last RAN4 #96e meeting, the core part of UE specific CBW change has been finalized. From this RAN4 meeting, RAN4 focuses on the test case design for this feature. We had some email discussion on test case list and work splitting before the meeting, and in this </w:t>
      </w:r>
      <w:r w:rsidR="00B0581C">
        <w:rPr>
          <w:lang w:val="en-US" w:eastAsia="zh-CN"/>
        </w:rPr>
        <w:t xml:space="preserve">meeting, </w:t>
      </w:r>
      <w:r>
        <w:rPr>
          <w:lang w:val="en-US" w:eastAsia="zh-CN"/>
        </w:rPr>
        <w:t>we propose this test case list formally for approval.</w:t>
      </w:r>
    </w:p>
    <w:p w14:paraId="11114A88" w14:textId="6482AAC6" w:rsidR="00712CC1" w:rsidRDefault="00EC56A4" w:rsidP="00712CC1">
      <w:pPr>
        <w:pStyle w:val="Heading1"/>
        <w:numPr>
          <w:ilvl w:val="0"/>
          <w:numId w:val="10"/>
        </w:numPr>
        <w:pBdr>
          <w:top w:val="single" w:sz="12" w:space="2" w:color="auto"/>
        </w:pBdr>
        <w:tabs>
          <w:tab w:val="num" w:pos="45"/>
        </w:tabs>
        <w:jc w:val="both"/>
        <w:rPr>
          <w:sz w:val="32"/>
        </w:rPr>
      </w:pPr>
      <w:r>
        <w:rPr>
          <w:sz w:val="32"/>
        </w:rPr>
        <w:t>Proposal on TC list for UE specific CBW change</w:t>
      </w:r>
    </w:p>
    <w:p w14:paraId="0A5794BB" w14:textId="4C9C87AC" w:rsidR="00EC56A4" w:rsidRDefault="00EC56A4" w:rsidP="00EC56A4">
      <w:pPr>
        <w:tabs>
          <w:tab w:val="left" w:pos="1400"/>
        </w:tabs>
        <w:overflowPunct/>
        <w:spacing w:after="120" w:line="252" w:lineRule="auto"/>
        <w:textAlignment w:val="auto"/>
        <w:rPr>
          <w:lang w:val="en-US" w:eastAsia="zh-CN"/>
        </w:rPr>
      </w:pPr>
      <w:r w:rsidRPr="00EC56A4">
        <w:rPr>
          <w:lang w:val="en-US" w:eastAsia="zh-CN"/>
        </w:rPr>
        <w:t>The requirement of UE specific CBW change is</w:t>
      </w:r>
      <w:r>
        <w:rPr>
          <w:lang w:val="en-US" w:eastAsia="zh-CN"/>
        </w:rPr>
        <w:t xml:space="preserve"> almost</w:t>
      </w:r>
      <w:r w:rsidRPr="00EC56A4">
        <w:rPr>
          <w:lang w:val="en-US" w:eastAsia="zh-CN"/>
        </w:rPr>
        <w:t xml:space="preserve"> same as RRC based BWP switching</w:t>
      </w:r>
      <w:r>
        <w:rPr>
          <w:lang w:val="en-US" w:eastAsia="zh-CN"/>
        </w:rPr>
        <w:t xml:space="preserve"> and also we think the test case coverage could be same as RRC based BWP switching, </w:t>
      </w:r>
      <w:r w:rsidRPr="00EC56A4">
        <w:rPr>
          <w:lang w:val="en-US" w:eastAsia="zh-CN"/>
        </w:rPr>
        <w:t>i.e., 4 TCs in total: (a)EN-DC with FR1 NR PScell, (b)EN-DC with FR2 NR PScell, (c)NR SA with FR1 PCell, (d)NR SA with FR2 PCell.</w:t>
      </w:r>
    </w:p>
    <w:tbl>
      <w:tblPr>
        <w:tblW w:w="0" w:type="auto"/>
        <w:tblCellMar>
          <w:left w:w="0" w:type="dxa"/>
          <w:right w:w="0" w:type="dxa"/>
        </w:tblCellMar>
        <w:tblLook w:val="04A0" w:firstRow="1" w:lastRow="0" w:firstColumn="1" w:lastColumn="0" w:noHBand="0" w:noVBand="1"/>
      </w:tblPr>
      <w:tblGrid>
        <w:gridCol w:w="5840"/>
        <w:gridCol w:w="3779"/>
      </w:tblGrid>
      <w:tr w:rsidR="00696031" w:rsidRPr="00EC56A4" w14:paraId="57312832" w14:textId="19656143" w:rsidTr="00696031">
        <w:trPr>
          <w:trHeight w:val="356"/>
        </w:trPr>
        <w:tc>
          <w:tcPr>
            <w:tcW w:w="5840" w:type="dxa"/>
            <w:tcBorders>
              <w:top w:val="single" w:sz="8" w:space="0" w:color="000000"/>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723B2A66" w14:textId="65FC238B" w:rsidR="00696031" w:rsidRPr="00EC56A4" w:rsidRDefault="00696031" w:rsidP="00EC56A4">
            <w:pPr>
              <w:overflowPunct/>
              <w:autoSpaceDE/>
              <w:autoSpaceDN/>
              <w:adjustRightInd/>
              <w:spacing w:after="0"/>
              <w:textAlignment w:val="auto"/>
              <w:rPr>
                <w:rFonts w:eastAsia="SimSun"/>
                <w:b/>
                <w:bCs/>
                <w:lang w:val="en-US" w:eastAsia="zh-CN"/>
              </w:rPr>
            </w:pPr>
            <w:r w:rsidRPr="00EC56A4">
              <w:rPr>
                <w:rFonts w:eastAsia="SimSun"/>
                <w:b/>
                <w:bCs/>
                <w:color w:val="000000"/>
                <w:lang w:val="en-US" w:eastAsia="zh-CN"/>
              </w:rPr>
              <w:t>T</w:t>
            </w:r>
            <w:r>
              <w:rPr>
                <w:rFonts w:eastAsia="SimSun"/>
                <w:b/>
                <w:bCs/>
                <w:color w:val="000000"/>
                <w:lang w:val="en-US" w:eastAsia="zh-CN"/>
              </w:rPr>
              <w:t xml:space="preserve">est case </w:t>
            </w:r>
            <w:r w:rsidRPr="00EC56A4">
              <w:rPr>
                <w:rFonts w:eastAsia="SimSun"/>
                <w:b/>
                <w:bCs/>
                <w:color w:val="000000"/>
                <w:lang w:val="en-US" w:eastAsia="zh-CN"/>
              </w:rPr>
              <w:t>list for UE specific CBW change</w:t>
            </w:r>
          </w:p>
        </w:tc>
        <w:tc>
          <w:tcPr>
            <w:tcW w:w="3779" w:type="dxa"/>
            <w:tcBorders>
              <w:top w:val="single" w:sz="8" w:space="0" w:color="000000"/>
              <w:left w:val="single" w:sz="8" w:space="0" w:color="000000"/>
              <w:bottom w:val="single" w:sz="8" w:space="0" w:color="000000"/>
              <w:right w:val="single" w:sz="8" w:space="0" w:color="000000"/>
            </w:tcBorders>
            <w:shd w:val="clear" w:color="auto" w:fill="D4D4D4"/>
          </w:tcPr>
          <w:p w14:paraId="61511543" w14:textId="6680E8AE" w:rsidR="00696031" w:rsidRPr="00EC56A4" w:rsidRDefault="00696031" w:rsidP="00696031">
            <w:pPr>
              <w:overflowPunct/>
              <w:autoSpaceDE/>
              <w:autoSpaceDN/>
              <w:adjustRightInd/>
              <w:spacing w:after="0"/>
              <w:ind w:left="85"/>
              <w:textAlignment w:val="auto"/>
              <w:rPr>
                <w:rFonts w:eastAsia="SimSun"/>
                <w:b/>
                <w:bCs/>
                <w:color w:val="000000"/>
                <w:lang w:val="en-US" w:eastAsia="zh-CN"/>
              </w:rPr>
            </w:pPr>
            <w:r>
              <w:rPr>
                <w:rFonts w:eastAsia="SimSun"/>
                <w:b/>
                <w:bCs/>
                <w:color w:val="000000"/>
                <w:lang w:val="en-US" w:eastAsia="zh-CN"/>
              </w:rPr>
              <w:t>TC parameters</w:t>
            </w:r>
          </w:p>
        </w:tc>
      </w:tr>
      <w:tr w:rsidR="00696031" w:rsidRPr="00EC56A4" w14:paraId="120108ED" w14:textId="7EA9A7F1" w:rsidTr="00696031">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13DFDD15" w14:textId="465DCB0E" w:rsidR="00696031" w:rsidRPr="00EC56A4" w:rsidRDefault="00696031" w:rsidP="00EC56A4">
            <w:pPr>
              <w:overflowPunct/>
              <w:autoSpaceDE/>
              <w:autoSpaceDN/>
              <w:adjustRightInd/>
              <w:spacing w:after="0"/>
              <w:textAlignment w:val="auto"/>
              <w:rPr>
                <w:rFonts w:eastAsia="SimSun"/>
                <w:lang w:val="en-US" w:eastAsia="zh-CN"/>
              </w:rPr>
            </w:pPr>
            <w:r w:rsidRPr="00EC56A4">
              <w:rPr>
                <w:rFonts w:eastAsia="SimSun"/>
                <w:color w:val="000000"/>
                <w:lang w:val="en-US" w:eastAsia="zh-CN"/>
              </w:rPr>
              <w:t xml:space="preserve">TC1: UE specific CBW change on FR1 NR PSCell </w:t>
            </w:r>
            <w:r>
              <w:rPr>
                <w:rFonts w:eastAsia="SimSun"/>
                <w:color w:val="000000"/>
                <w:lang w:val="en-US" w:eastAsia="zh-CN"/>
              </w:rPr>
              <w:t>with</w:t>
            </w:r>
            <w:r w:rsidRPr="00EC56A4">
              <w:rPr>
                <w:rFonts w:eastAsia="SimSun"/>
                <w:color w:val="000000"/>
                <w:lang w:val="en-US" w:eastAsia="zh-CN"/>
              </w:rPr>
              <w:t xml:space="preserve"> non-DRX in synchronous EN- DC (A.4.5.x)</w:t>
            </w:r>
          </w:p>
        </w:tc>
        <w:tc>
          <w:tcPr>
            <w:tcW w:w="3779" w:type="dxa"/>
            <w:vMerge w:val="restart"/>
            <w:tcBorders>
              <w:top w:val="nil"/>
              <w:left w:val="single" w:sz="8" w:space="0" w:color="000000"/>
              <w:right w:val="single" w:sz="8" w:space="0" w:color="000000"/>
            </w:tcBorders>
          </w:tcPr>
          <w:p w14:paraId="62AB2C81" w14:textId="54FFAF35" w:rsidR="00696031" w:rsidRPr="00696031" w:rsidRDefault="00696031" w:rsidP="00696031">
            <w:pPr>
              <w:pStyle w:val="ListParagraph"/>
              <w:numPr>
                <w:ilvl w:val="0"/>
                <w:numId w:val="47"/>
              </w:numPr>
              <w:autoSpaceDE/>
              <w:autoSpaceDN/>
              <w:adjustRightInd/>
              <w:spacing w:line="240" w:lineRule="auto"/>
              <w:ind w:left="445" w:firstLineChars="0"/>
              <w:rPr>
                <w:i/>
                <w:iCs/>
                <w:lang w:eastAsia="zh-CN"/>
              </w:rPr>
            </w:pPr>
            <w:r w:rsidRPr="00696031">
              <w:rPr>
                <w:i/>
                <w:iCs/>
                <w:lang w:eastAsia="zh-CN"/>
              </w:rPr>
              <w:t xml:space="preserve">offsetToCarrier </w:t>
            </w:r>
            <w:r w:rsidRPr="00696031">
              <w:rPr>
                <w:lang w:eastAsia="zh-CN"/>
              </w:rPr>
              <w:t>is changed for TC of UE specific CBW change, while</w:t>
            </w:r>
            <w:r w:rsidRPr="00696031">
              <w:rPr>
                <w:i/>
                <w:iCs/>
                <w:lang w:eastAsia="zh-CN"/>
              </w:rPr>
              <w:t xml:space="preserve"> carrierBandwidth </w:t>
            </w:r>
            <w:r w:rsidRPr="00696031">
              <w:rPr>
                <w:lang w:eastAsia="zh-CN"/>
              </w:rPr>
              <w:t>is unchanged in this TC</w:t>
            </w:r>
            <w:r w:rsidR="00F4108D">
              <w:rPr>
                <w:lang w:val="en-US" w:eastAsia="zh-CN"/>
              </w:rPr>
              <w:t xml:space="preserve"> (same as RF </w:t>
            </w:r>
            <w:r w:rsidR="00F4108D" w:rsidRPr="00F4108D">
              <w:rPr>
                <w:lang w:val="en-US" w:eastAsia="zh-CN"/>
              </w:rPr>
              <w:t xml:space="preserve">channel </w:t>
            </w:r>
            <w:r w:rsidR="00F4108D">
              <w:rPr>
                <w:lang w:val="en-US" w:eastAsia="zh-CN"/>
              </w:rPr>
              <w:t xml:space="preserve">BW </w:t>
            </w:r>
            <w:r w:rsidR="00F4108D" w:rsidRPr="00F4108D">
              <w:rPr>
                <w:lang w:val="en-US" w:eastAsia="zh-CN"/>
              </w:rPr>
              <w:t>defined in each test</w:t>
            </w:r>
            <w:r w:rsidR="00F4108D">
              <w:rPr>
                <w:lang w:val="en-US" w:eastAsia="zh-CN"/>
              </w:rPr>
              <w:t>)</w:t>
            </w:r>
            <w:r w:rsidRPr="00696031">
              <w:rPr>
                <w:i/>
                <w:iCs/>
                <w:lang w:eastAsia="zh-CN"/>
              </w:rPr>
              <w:t>.</w:t>
            </w:r>
          </w:p>
          <w:p w14:paraId="37192D74" w14:textId="77777777" w:rsidR="00696031" w:rsidRDefault="00696031" w:rsidP="00696031">
            <w:pPr>
              <w:overflowPunct/>
              <w:autoSpaceDE/>
              <w:autoSpaceDN/>
              <w:adjustRightInd/>
              <w:spacing w:after="0"/>
              <w:ind w:left="445"/>
              <w:textAlignment w:val="auto"/>
              <w:rPr>
                <w:i/>
                <w:iCs/>
                <w:lang w:eastAsia="zh-CN"/>
              </w:rPr>
            </w:pPr>
          </w:p>
          <w:p w14:paraId="4D9CCB60" w14:textId="721D41C1" w:rsidR="00696031" w:rsidRPr="00696031" w:rsidRDefault="00696031" w:rsidP="00696031">
            <w:pPr>
              <w:pStyle w:val="ListParagraph"/>
              <w:numPr>
                <w:ilvl w:val="0"/>
                <w:numId w:val="47"/>
              </w:numPr>
              <w:autoSpaceDE/>
              <w:autoSpaceDN/>
              <w:adjustRightInd/>
              <w:spacing w:line="240" w:lineRule="auto"/>
              <w:ind w:left="445" w:firstLineChars="0"/>
              <w:rPr>
                <w:color w:val="000000"/>
                <w:lang w:val="en-US" w:eastAsia="zh-CN"/>
              </w:rPr>
            </w:pPr>
            <w:r w:rsidRPr="00696031">
              <w:rPr>
                <w:color w:val="000000"/>
                <w:lang w:val="en-US" w:eastAsia="zh-CN"/>
              </w:rPr>
              <w:t>Reuse the parameters as much as possible from TC of RRC based BWP switching except the BWP switching parameters.</w:t>
            </w:r>
          </w:p>
        </w:tc>
      </w:tr>
      <w:tr w:rsidR="00696031" w:rsidRPr="00EC56A4" w14:paraId="2638E095" w14:textId="13330169" w:rsidTr="00696031">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4CC02BB6" w14:textId="07F81D5E" w:rsidR="00696031" w:rsidRPr="00EC56A4" w:rsidRDefault="00696031" w:rsidP="00EC56A4">
            <w:pPr>
              <w:overflowPunct/>
              <w:autoSpaceDE/>
              <w:autoSpaceDN/>
              <w:adjustRightInd/>
              <w:spacing w:after="0"/>
              <w:textAlignment w:val="auto"/>
              <w:rPr>
                <w:rFonts w:eastAsia="SimSun"/>
                <w:lang w:val="en-US" w:eastAsia="zh-CN"/>
              </w:rPr>
            </w:pPr>
            <w:r w:rsidRPr="00EC56A4">
              <w:rPr>
                <w:rFonts w:eastAsia="SimSun"/>
                <w:color w:val="000000"/>
                <w:lang w:val="en-US" w:eastAsia="zh-CN"/>
              </w:rPr>
              <w:t xml:space="preserve">TC2: UE specific CBW change on FR2 NR PSCell </w:t>
            </w:r>
            <w:r>
              <w:rPr>
                <w:rFonts w:eastAsia="SimSun"/>
                <w:color w:val="000000"/>
                <w:lang w:val="en-US" w:eastAsia="zh-CN"/>
              </w:rPr>
              <w:t>with</w:t>
            </w:r>
            <w:r w:rsidRPr="00EC56A4">
              <w:rPr>
                <w:rFonts w:eastAsia="SimSun"/>
                <w:color w:val="000000"/>
                <w:lang w:val="en-US" w:eastAsia="zh-CN"/>
              </w:rPr>
              <w:t xml:space="preserve"> non-DRX in synchronous EN- DC (A.5.5.x)</w:t>
            </w:r>
          </w:p>
        </w:tc>
        <w:tc>
          <w:tcPr>
            <w:tcW w:w="3779" w:type="dxa"/>
            <w:vMerge/>
            <w:tcBorders>
              <w:left w:val="single" w:sz="8" w:space="0" w:color="000000"/>
              <w:right w:val="single" w:sz="8" w:space="0" w:color="000000"/>
            </w:tcBorders>
          </w:tcPr>
          <w:p w14:paraId="26C9E353" w14:textId="77777777" w:rsidR="00696031" w:rsidRPr="00EC56A4" w:rsidRDefault="00696031" w:rsidP="00EC56A4">
            <w:pPr>
              <w:overflowPunct/>
              <w:autoSpaceDE/>
              <w:autoSpaceDN/>
              <w:adjustRightInd/>
              <w:spacing w:after="0"/>
              <w:textAlignment w:val="auto"/>
              <w:rPr>
                <w:rFonts w:eastAsia="SimSun"/>
                <w:color w:val="000000"/>
                <w:lang w:val="en-US" w:eastAsia="zh-CN"/>
              </w:rPr>
            </w:pPr>
          </w:p>
        </w:tc>
      </w:tr>
      <w:tr w:rsidR="00696031" w:rsidRPr="00EC56A4" w14:paraId="1C097B04" w14:textId="2A22BA40" w:rsidTr="00696031">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6F0C7251" w14:textId="1785FD5D" w:rsidR="00696031" w:rsidRPr="00EC56A4" w:rsidRDefault="00696031" w:rsidP="00EC56A4">
            <w:pPr>
              <w:overflowPunct/>
              <w:autoSpaceDE/>
              <w:autoSpaceDN/>
              <w:adjustRightInd/>
              <w:spacing w:after="0"/>
              <w:textAlignment w:val="auto"/>
              <w:rPr>
                <w:rFonts w:eastAsia="SimSun"/>
                <w:lang w:val="en-US" w:eastAsia="zh-CN"/>
              </w:rPr>
            </w:pPr>
            <w:r w:rsidRPr="00EC56A4">
              <w:rPr>
                <w:rFonts w:eastAsia="SimSun"/>
                <w:color w:val="000000"/>
                <w:lang w:val="en-US" w:eastAsia="zh-CN"/>
              </w:rPr>
              <w:t xml:space="preserve">TC3: UE specific CBW change on FR1 NR PCell </w:t>
            </w:r>
            <w:r>
              <w:rPr>
                <w:rFonts w:eastAsia="SimSun"/>
                <w:color w:val="000000"/>
                <w:lang w:val="en-US" w:eastAsia="zh-CN"/>
              </w:rPr>
              <w:t>with</w:t>
            </w:r>
            <w:r w:rsidRPr="00EC56A4">
              <w:rPr>
                <w:rFonts w:eastAsia="SimSun"/>
                <w:color w:val="000000"/>
                <w:lang w:val="en-US" w:eastAsia="zh-CN"/>
              </w:rPr>
              <w:t xml:space="preserve"> non-DRX in NR SA (A.6.5.x)</w:t>
            </w:r>
          </w:p>
        </w:tc>
        <w:tc>
          <w:tcPr>
            <w:tcW w:w="3779" w:type="dxa"/>
            <w:vMerge/>
            <w:tcBorders>
              <w:left w:val="single" w:sz="8" w:space="0" w:color="000000"/>
              <w:right w:val="single" w:sz="8" w:space="0" w:color="000000"/>
            </w:tcBorders>
          </w:tcPr>
          <w:p w14:paraId="114FED96" w14:textId="77777777" w:rsidR="00696031" w:rsidRPr="00EC56A4" w:rsidRDefault="00696031" w:rsidP="00EC56A4">
            <w:pPr>
              <w:overflowPunct/>
              <w:autoSpaceDE/>
              <w:autoSpaceDN/>
              <w:adjustRightInd/>
              <w:spacing w:after="0"/>
              <w:textAlignment w:val="auto"/>
              <w:rPr>
                <w:rFonts w:eastAsia="SimSun"/>
                <w:color w:val="000000"/>
                <w:lang w:val="en-US" w:eastAsia="zh-CN"/>
              </w:rPr>
            </w:pPr>
          </w:p>
        </w:tc>
      </w:tr>
      <w:tr w:rsidR="00696031" w:rsidRPr="00EC56A4" w14:paraId="02B36354" w14:textId="425A6025" w:rsidTr="00696031">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32C1067F" w14:textId="0A559243" w:rsidR="00696031" w:rsidRPr="00EC56A4" w:rsidRDefault="00696031" w:rsidP="00EC56A4">
            <w:pPr>
              <w:overflowPunct/>
              <w:autoSpaceDE/>
              <w:autoSpaceDN/>
              <w:adjustRightInd/>
              <w:spacing w:after="0"/>
              <w:textAlignment w:val="auto"/>
              <w:rPr>
                <w:rFonts w:eastAsia="SimSun"/>
                <w:lang w:val="en-US" w:eastAsia="zh-CN"/>
              </w:rPr>
            </w:pPr>
            <w:r w:rsidRPr="00EC56A4">
              <w:rPr>
                <w:rFonts w:eastAsia="SimSun"/>
                <w:color w:val="000000"/>
                <w:lang w:val="en-US" w:eastAsia="zh-CN"/>
              </w:rPr>
              <w:t xml:space="preserve">TC4: UE specific CBW change on FR2 NR PCell </w:t>
            </w:r>
            <w:r>
              <w:rPr>
                <w:rFonts w:eastAsia="SimSun"/>
                <w:color w:val="000000"/>
                <w:lang w:val="en-US" w:eastAsia="zh-CN"/>
              </w:rPr>
              <w:t>with</w:t>
            </w:r>
            <w:r w:rsidRPr="00EC56A4">
              <w:rPr>
                <w:rFonts w:eastAsia="SimSun"/>
                <w:color w:val="000000"/>
                <w:lang w:val="en-US" w:eastAsia="zh-CN"/>
              </w:rPr>
              <w:t xml:space="preserve"> non-DRX in NR SA (A.7.5.x)                               </w:t>
            </w:r>
          </w:p>
        </w:tc>
        <w:tc>
          <w:tcPr>
            <w:tcW w:w="3779" w:type="dxa"/>
            <w:vMerge/>
            <w:tcBorders>
              <w:left w:val="single" w:sz="8" w:space="0" w:color="000000"/>
              <w:bottom w:val="single" w:sz="8" w:space="0" w:color="000000"/>
              <w:right w:val="single" w:sz="8" w:space="0" w:color="000000"/>
            </w:tcBorders>
          </w:tcPr>
          <w:p w14:paraId="20273E50" w14:textId="77777777" w:rsidR="00696031" w:rsidRPr="00EC56A4" w:rsidRDefault="00696031" w:rsidP="00EC56A4">
            <w:pPr>
              <w:overflowPunct/>
              <w:autoSpaceDE/>
              <w:autoSpaceDN/>
              <w:adjustRightInd/>
              <w:spacing w:after="0"/>
              <w:textAlignment w:val="auto"/>
              <w:rPr>
                <w:rFonts w:eastAsia="SimSun"/>
                <w:color w:val="000000"/>
                <w:lang w:val="en-US" w:eastAsia="zh-CN"/>
              </w:rPr>
            </w:pPr>
          </w:p>
        </w:tc>
      </w:tr>
    </w:tbl>
    <w:p w14:paraId="2C0DBBBC" w14:textId="77777777" w:rsidR="00EC56A4" w:rsidRDefault="00EC56A4" w:rsidP="00EC56A4">
      <w:pPr>
        <w:tabs>
          <w:tab w:val="left" w:pos="1400"/>
        </w:tabs>
        <w:overflowPunct/>
        <w:spacing w:after="120" w:line="252" w:lineRule="auto"/>
        <w:textAlignment w:val="auto"/>
        <w:rPr>
          <w:lang w:val="en-US" w:eastAsia="zh-CN"/>
        </w:rPr>
      </w:pPr>
    </w:p>
    <w:p w14:paraId="6D02393A" w14:textId="7E764D83" w:rsidR="00FD0E62" w:rsidRPr="00696031" w:rsidRDefault="00EC56A4" w:rsidP="00EC56A4">
      <w:pPr>
        <w:tabs>
          <w:tab w:val="left" w:pos="1400"/>
        </w:tabs>
        <w:overflowPunct/>
        <w:spacing w:after="120" w:line="252" w:lineRule="auto"/>
        <w:textAlignment w:val="auto"/>
        <w:rPr>
          <w:b/>
          <w:bCs/>
          <w:i/>
          <w:iCs/>
          <w:lang w:val="en-US" w:eastAsia="zh-CN"/>
        </w:rPr>
      </w:pPr>
      <w:r w:rsidRPr="00EC56A4">
        <w:rPr>
          <w:lang w:val="en-US" w:eastAsia="zh-CN"/>
        </w:rPr>
        <w:t xml:space="preserve"> </w:t>
      </w:r>
      <w:r w:rsidR="00696031" w:rsidRPr="00696031">
        <w:rPr>
          <w:b/>
          <w:bCs/>
          <w:i/>
          <w:iCs/>
          <w:lang w:val="en-US" w:eastAsia="zh-CN"/>
        </w:rPr>
        <w:t>Proposal: RAN4 agrees on the above TC list.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AD64A1" w14:textId="77777777" w:rsidR="00776ED0" w:rsidRDefault="00776ED0">
      <w:pPr>
        <w:spacing w:after="0"/>
      </w:pPr>
      <w:r>
        <w:separator/>
      </w:r>
    </w:p>
  </w:endnote>
  <w:endnote w:type="continuationSeparator" w:id="0">
    <w:p w14:paraId="23C34E57" w14:textId="77777777" w:rsidR="00776ED0" w:rsidRDefault="00776ED0">
      <w:pPr>
        <w:spacing w:after="0"/>
      </w:pPr>
      <w:r>
        <w:continuationSeparator/>
      </w:r>
    </w:p>
  </w:endnote>
  <w:endnote w:type="continuationNotice" w:id="1">
    <w:p w14:paraId="3DCA4E44" w14:textId="77777777" w:rsidR="00776ED0" w:rsidRDefault="00776E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07E6B" w14:textId="77777777" w:rsidR="00776ED0" w:rsidRDefault="00776ED0">
      <w:pPr>
        <w:spacing w:after="0"/>
      </w:pPr>
      <w:r>
        <w:separator/>
      </w:r>
    </w:p>
  </w:footnote>
  <w:footnote w:type="continuationSeparator" w:id="0">
    <w:p w14:paraId="2F609911" w14:textId="77777777" w:rsidR="00776ED0" w:rsidRDefault="00776ED0">
      <w:pPr>
        <w:spacing w:after="0"/>
      </w:pPr>
      <w:r>
        <w:continuationSeparator/>
      </w:r>
    </w:p>
  </w:footnote>
  <w:footnote w:type="continuationNotice" w:id="1">
    <w:p w14:paraId="602701B2" w14:textId="77777777" w:rsidR="00776ED0" w:rsidRDefault="00776E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6F602D"/>
    <w:multiLevelType w:val="hybridMultilevel"/>
    <w:tmpl w:val="F882507C"/>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7"/>
  </w:num>
  <w:num w:numId="10">
    <w:abstractNumId w:val="10"/>
  </w:num>
  <w:num w:numId="11">
    <w:abstractNumId w:val="13"/>
  </w:num>
  <w:num w:numId="12">
    <w:abstractNumId w:val="12"/>
  </w:num>
  <w:num w:numId="13">
    <w:abstractNumId w:val="13"/>
  </w:num>
  <w:num w:numId="14">
    <w:abstractNumId w:val="36"/>
  </w:num>
  <w:num w:numId="15">
    <w:abstractNumId w:val="18"/>
  </w:num>
  <w:num w:numId="16">
    <w:abstractNumId w:val="35"/>
  </w:num>
  <w:num w:numId="17">
    <w:abstractNumId w:val="16"/>
  </w:num>
  <w:num w:numId="18">
    <w:abstractNumId w:val="40"/>
  </w:num>
  <w:num w:numId="19">
    <w:abstractNumId w:val="31"/>
  </w:num>
  <w:num w:numId="20">
    <w:abstractNumId w:val="32"/>
  </w:num>
  <w:num w:numId="21">
    <w:abstractNumId w:val="8"/>
  </w:num>
  <w:num w:numId="22">
    <w:abstractNumId w:val="28"/>
  </w:num>
  <w:num w:numId="23">
    <w:abstractNumId w:val="17"/>
  </w:num>
  <w:num w:numId="24">
    <w:abstractNumId w:val="29"/>
  </w:num>
  <w:num w:numId="25">
    <w:abstractNumId w:val="39"/>
  </w:num>
  <w:num w:numId="26">
    <w:abstractNumId w:val="15"/>
  </w:num>
  <w:num w:numId="27">
    <w:abstractNumId w:val="23"/>
  </w:num>
  <w:num w:numId="28">
    <w:abstractNumId w:val="6"/>
  </w:num>
  <w:num w:numId="29">
    <w:abstractNumId w:val="38"/>
  </w:num>
  <w:num w:numId="30">
    <w:abstractNumId w:val="41"/>
  </w:num>
  <w:num w:numId="31">
    <w:abstractNumId w:val="11"/>
  </w:num>
  <w:num w:numId="32">
    <w:abstractNumId w:val="27"/>
  </w:num>
  <w:num w:numId="33">
    <w:abstractNumId w:val="25"/>
  </w:num>
  <w:num w:numId="34">
    <w:abstractNumId w:val="24"/>
  </w:num>
  <w:num w:numId="35">
    <w:abstractNumId w:val="14"/>
  </w:num>
  <w:num w:numId="36">
    <w:abstractNumId w:val="26"/>
  </w:num>
  <w:num w:numId="37">
    <w:abstractNumId w:val="33"/>
  </w:num>
  <w:num w:numId="38">
    <w:abstractNumId w:val="43"/>
  </w:num>
  <w:num w:numId="39">
    <w:abstractNumId w:val="21"/>
  </w:num>
  <w:num w:numId="40">
    <w:abstractNumId w:val="0"/>
  </w:num>
  <w:num w:numId="41">
    <w:abstractNumId w:val="1"/>
  </w:num>
  <w:num w:numId="42">
    <w:abstractNumId w:val="2"/>
  </w:num>
  <w:num w:numId="43">
    <w:abstractNumId w:val="3"/>
  </w:num>
  <w:num w:numId="44">
    <w:abstractNumId w:val="4"/>
  </w:num>
  <w:num w:numId="45">
    <w:abstractNumId w:val="5"/>
  </w:num>
  <w:num w:numId="46">
    <w:abstractNumId w:val="22"/>
  </w:num>
  <w:num w:numId="47">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90D"/>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2290"/>
    <w:rsid w:val="002332D6"/>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031"/>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6ED0"/>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81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2A4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6A4"/>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08D"/>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1717753">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4240879">
      <w:bodyDiv w:val="1"/>
      <w:marLeft w:val="0"/>
      <w:marRight w:val="0"/>
      <w:marTop w:val="0"/>
      <w:marBottom w:val="0"/>
      <w:divBdr>
        <w:top w:val="none" w:sz="0" w:space="0" w:color="auto"/>
        <w:left w:val="none" w:sz="0" w:space="0" w:color="auto"/>
        <w:bottom w:val="none" w:sz="0" w:space="0" w:color="auto"/>
        <w:right w:val="none" w:sz="0" w:space="0" w:color="auto"/>
      </w:divBdr>
      <w:divsChild>
        <w:div w:id="1274748644">
          <w:marLeft w:val="0"/>
          <w:marRight w:val="0"/>
          <w:marTop w:val="0"/>
          <w:marBottom w:val="0"/>
          <w:divBdr>
            <w:top w:val="none" w:sz="0" w:space="0" w:color="auto"/>
            <w:left w:val="none" w:sz="0" w:space="0" w:color="auto"/>
            <w:bottom w:val="none" w:sz="0" w:space="0" w:color="auto"/>
            <w:right w:val="none" w:sz="0" w:space="0" w:color="auto"/>
          </w:divBdr>
        </w:div>
        <w:div w:id="616105276">
          <w:marLeft w:val="0"/>
          <w:marRight w:val="0"/>
          <w:marTop w:val="0"/>
          <w:marBottom w:val="0"/>
          <w:divBdr>
            <w:top w:val="none" w:sz="0" w:space="0" w:color="auto"/>
            <w:left w:val="none" w:sz="0" w:space="0" w:color="auto"/>
            <w:bottom w:val="none" w:sz="0" w:space="0" w:color="auto"/>
            <w:right w:val="none" w:sz="0" w:space="0" w:color="auto"/>
          </w:divBdr>
        </w:div>
        <w:div w:id="1507204997">
          <w:marLeft w:val="0"/>
          <w:marRight w:val="0"/>
          <w:marTop w:val="0"/>
          <w:marBottom w:val="0"/>
          <w:divBdr>
            <w:top w:val="none" w:sz="0" w:space="0" w:color="auto"/>
            <w:left w:val="none" w:sz="0" w:space="0" w:color="auto"/>
            <w:bottom w:val="none" w:sz="0" w:space="0" w:color="auto"/>
            <w:right w:val="none" w:sz="0" w:space="0" w:color="auto"/>
          </w:divBdr>
        </w:div>
        <w:div w:id="1365016339">
          <w:marLeft w:val="0"/>
          <w:marRight w:val="0"/>
          <w:marTop w:val="0"/>
          <w:marBottom w:val="0"/>
          <w:divBdr>
            <w:top w:val="none" w:sz="0" w:space="0" w:color="auto"/>
            <w:left w:val="none" w:sz="0" w:space="0" w:color="auto"/>
            <w:bottom w:val="none" w:sz="0" w:space="0" w:color="auto"/>
            <w:right w:val="none" w:sz="0" w:space="0" w:color="auto"/>
          </w:divBdr>
        </w:div>
        <w:div w:id="699862547">
          <w:marLeft w:val="0"/>
          <w:marRight w:val="0"/>
          <w:marTop w:val="0"/>
          <w:marBottom w:val="0"/>
          <w:divBdr>
            <w:top w:val="none" w:sz="0" w:space="0" w:color="auto"/>
            <w:left w:val="none" w:sz="0" w:space="0" w:color="auto"/>
            <w:bottom w:val="none" w:sz="0" w:space="0" w:color="auto"/>
            <w:right w:val="none" w:sz="0" w:space="0" w:color="auto"/>
          </w:divBdr>
        </w:div>
        <w:div w:id="2088258752">
          <w:marLeft w:val="0"/>
          <w:marRight w:val="0"/>
          <w:marTop w:val="0"/>
          <w:marBottom w:val="0"/>
          <w:divBdr>
            <w:top w:val="none" w:sz="0" w:space="0" w:color="auto"/>
            <w:left w:val="none" w:sz="0" w:space="0" w:color="auto"/>
            <w:bottom w:val="none" w:sz="0" w:space="0" w:color="auto"/>
            <w:right w:val="none" w:sz="0" w:space="0" w:color="auto"/>
          </w:divBdr>
        </w:div>
        <w:div w:id="254755004">
          <w:marLeft w:val="0"/>
          <w:marRight w:val="0"/>
          <w:marTop w:val="0"/>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1</Pages>
  <Words>271</Words>
  <Characters>1547</Characters>
  <Application>Microsoft Office Word</Application>
  <DocSecurity>0</DocSecurity>
  <Lines>12</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4</cp:revision>
  <cp:lastPrinted>2016-08-05T18:54:00Z</cp:lastPrinted>
  <dcterms:created xsi:type="dcterms:W3CDTF">2020-10-17T19:30:00Z</dcterms:created>
  <dcterms:modified xsi:type="dcterms:W3CDTF">2020-10-23T17:23:00Z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